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4FA6FA" w14:textId="67E40B36" w:rsidR="00107045" w:rsidRDefault="00107045" w:rsidP="0010704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7045">
        <w:rPr>
          <w:rFonts w:ascii="Times New Roman" w:hAnsi="Times New Roman" w:cs="Times New Roman"/>
          <w:b/>
          <w:sz w:val="28"/>
          <w:szCs w:val="28"/>
          <w:lang w:val="ru-RU"/>
        </w:rPr>
        <w:t>Выполнил: Гизатулин Ришат Фаритович</w:t>
      </w:r>
    </w:p>
    <w:p w14:paraId="75BC1F46" w14:textId="77777777" w:rsidR="00107045" w:rsidRPr="00107045" w:rsidRDefault="00107045" w:rsidP="0010704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BBD5261" w14:textId="77777777" w:rsidR="00107045" w:rsidRPr="00107045" w:rsidRDefault="00107045" w:rsidP="0010704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7045">
        <w:rPr>
          <w:rFonts w:ascii="Times New Roman" w:hAnsi="Times New Roman" w:cs="Times New Roman"/>
          <w:b/>
          <w:sz w:val="28"/>
          <w:szCs w:val="28"/>
          <w:lang w:val="ru-RU"/>
        </w:rPr>
        <w:t>Задание 1.</w:t>
      </w:r>
      <w:r w:rsidRPr="00107045">
        <w:rPr>
          <w:rFonts w:ascii="Times New Roman" w:hAnsi="Times New Roman" w:cs="Times New Roman"/>
          <w:sz w:val="28"/>
          <w:szCs w:val="28"/>
          <w:lang w:val="ru-RU"/>
        </w:rPr>
        <w:t xml:space="preserve"> Опишите основные цели государственной политики по регулированию ЖКХ региона, заполнив таблицу</w:t>
      </w:r>
    </w:p>
    <w:p w14:paraId="41C8A9D7" w14:textId="490E1B18" w:rsidR="00107045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000004" w14:textId="4605722F" w:rsidR="006B6667" w:rsidRPr="00107045" w:rsidRDefault="0010704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  <w:lang w:val="ru-RU"/>
        </w:rPr>
        <w:t>Таблица 1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33F5" w:rsidRPr="00107045">
        <w:rPr>
          <w:rFonts w:ascii="Times New Roman" w:hAnsi="Times New Roman" w:cs="Times New Roman"/>
          <w:sz w:val="28"/>
          <w:szCs w:val="28"/>
        </w:rPr>
        <w:t xml:space="preserve">Цели государственной политики регулирования жилищно-коммунального хозяйства в регионе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107045" w:rsidRPr="00107045" w14:paraId="1FC14A03" w14:textId="77777777" w:rsidTr="00107045">
        <w:tc>
          <w:tcPr>
            <w:tcW w:w="3006" w:type="dxa"/>
          </w:tcPr>
          <w:p w14:paraId="31768B6E" w14:textId="3A46EC19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Цель</w:t>
            </w:r>
          </w:p>
        </w:tc>
        <w:tc>
          <w:tcPr>
            <w:tcW w:w="3006" w:type="dxa"/>
          </w:tcPr>
          <w:p w14:paraId="2BCFC4EB" w14:textId="544EAF44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Способы достижения</w:t>
            </w:r>
          </w:p>
        </w:tc>
        <w:tc>
          <w:tcPr>
            <w:tcW w:w="3007" w:type="dxa"/>
          </w:tcPr>
          <w:p w14:paraId="5CC2298F" w14:textId="1CE1FE86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Проблемы достижения</w:t>
            </w:r>
          </w:p>
        </w:tc>
      </w:tr>
      <w:tr w:rsidR="00107045" w:rsidRPr="00107045" w14:paraId="4D573F85" w14:textId="77777777" w:rsidTr="00107045">
        <w:tc>
          <w:tcPr>
            <w:tcW w:w="3006" w:type="dxa"/>
          </w:tcPr>
          <w:p w14:paraId="5541209E" w14:textId="5AD327BE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Обеспечение доступности и качества ЖКУ</w:t>
            </w:r>
          </w:p>
        </w:tc>
        <w:tc>
          <w:tcPr>
            <w:tcW w:w="3006" w:type="dxa"/>
          </w:tcPr>
          <w:p w14:paraId="1C1F4A13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Регулирование тарифов через региональные энергетические комиссии </w:t>
            </w:r>
          </w:p>
          <w:p w14:paraId="23042DAE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Контроль за соблюдением стандартов качества услуг </w:t>
            </w:r>
          </w:p>
          <w:p w14:paraId="3E8D2AD6" w14:textId="72592B5F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Субсидии для малоимущих граждан</w:t>
            </w:r>
          </w:p>
        </w:tc>
        <w:tc>
          <w:tcPr>
            <w:tcW w:w="3007" w:type="dxa"/>
          </w:tcPr>
          <w:p w14:paraId="0B670EBC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Высокий износ инфраструктуры</w:t>
            </w:r>
          </w:p>
          <w:p w14:paraId="049CE745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 - Дефицит финансирования </w:t>
            </w:r>
          </w:p>
          <w:p w14:paraId="48B11AA0" w14:textId="1260FCAA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Низкая прозрачность </w:t>
            </w:r>
            <w:proofErr w:type="spellStart"/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тарифообразования</w:t>
            </w:r>
            <w:proofErr w:type="spellEnd"/>
          </w:p>
        </w:tc>
      </w:tr>
      <w:tr w:rsidR="00107045" w:rsidRPr="00107045" w14:paraId="0A1274C5" w14:textId="77777777" w:rsidTr="00107045">
        <w:tc>
          <w:tcPr>
            <w:tcW w:w="3006" w:type="dxa"/>
          </w:tcPr>
          <w:p w14:paraId="272CB187" w14:textId="10C96295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Повышение </w:t>
            </w:r>
            <w:proofErr w:type="spellStart"/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энергоэффективности</w:t>
            </w:r>
            <w:proofErr w:type="spellEnd"/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и модернизация инфраструктуры</w:t>
            </w:r>
          </w:p>
        </w:tc>
        <w:tc>
          <w:tcPr>
            <w:tcW w:w="3006" w:type="dxa"/>
          </w:tcPr>
          <w:p w14:paraId="2AFB6281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Программы капремонта (ФЗ №271) </w:t>
            </w:r>
          </w:p>
          <w:p w14:paraId="291641FB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Внедрение </w:t>
            </w:r>
            <w:r w:rsidRPr="00107045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«</w:t>
            </w: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умных</w:t>
            </w:r>
            <w:r w:rsidRPr="00107045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»</w:t>
            </w: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 счетчиков </w:t>
            </w:r>
          </w:p>
          <w:p w14:paraId="78A34435" w14:textId="55EDF048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Стимулирование энергосберегающих технологий</w:t>
            </w:r>
          </w:p>
        </w:tc>
        <w:tc>
          <w:tcPr>
            <w:tcW w:w="3007" w:type="dxa"/>
          </w:tcPr>
          <w:p w14:paraId="4BCFC696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Нехватка инвестиций </w:t>
            </w:r>
          </w:p>
          <w:p w14:paraId="59CBD327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Долгий срок окупаемости проектов </w:t>
            </w:r>
          </w:p>
          <w:p w14:paraId="2A7C9FFD" w14:textId="7B707793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Сопротивление со стороны монополистов</w:t>
            </w:r>
          </w:p>
        </w:tc>
      </w:tr>
      <w:tr w:rsidR="00107045" w:rsidRPr="00107045" w14:paraId="4EE1B45A" w14:textId="77777777" w:rsidTr="00107045">
        <w:tc>
          <w:tcPr>
            <w:tcW w:w="3006" w:type="dxa"/>
          </w:tcPr>
          <w:p w14:paraId="01166477" w14:textId="3B341B1C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Развитие конкурентной среды в управлении МКД</w:t>
            </w:r>
          </w:p>
        </w:tc>
        <w:tc>
          <w:tcPr>
            <w:tcW w:w="3006" w:type="dxa"/>
          </w:tcPr>
          <w:p w14:paraId="2A673703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Создание условий для ТСЖ и частных УК </w:t>
            </w:r>
          </w:p>
          <w:p w14:paraId="6BD63677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Прозрачные конкурсы на управление домами </w:t>
            </w:r>
          </w:p>
          <w:p w14:paraId="5318D3DD" w14:textId="13F458C3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Поддержка альтернативных форм управления</w:t>
            </w:r>
          </w:p>
        </w:tc>
        <w:tc>
          <w:tcPr>
            <w:tcW w:w="3007" w:type="dxa"/>
          </w:tcPr>
          <w:p w14:paraId="1E59063D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Низкая активность собственников </w:t>
            </w:r>
          </w:p>
          <w:p w14:paraId="36F8F3E6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Коррупционные риски при выборе УК </w:t>
            </w:r>
          </w:p>
          <w:p w14:paraId="7A84ACAF" w14:textId="07B17E3F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Недостаток квалифицированных управляющих компаний</w:t>
            </w:r>
          </w:p>
        </w:tc>
      </w:tr>
      <w:tr w:rsidR="00107045" w:rsidRPr="00107045" w14:paraId="1D2CCB27" w14:textId="77777777" w:rsidTr="00107045">
        <w:tc>
          <w:tcPr>
            <w:tcW w:w="3006" w:type="dxa"/>
          </w:tcPr>
          <w:p w14:paraId="43D0C76C" w14:textId="13E9C6CF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Обеспечение экологической безопасности</w:t>
            </w:r>
          </w:p>
        </w:tc>
        <w:tc>
          <w:tcPr>
            <w:tcW w:w="3006" w:type="dxa"/>
          </w:tcPr>
          <w:p w14:paraId="54AA1A87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Реформа ТКО (региональные операторы) - Стимулирование раздельного сбора отходов </w:t>
            </w:r>
          </w:p>
          <w:p w14:paraId="3B7F5533" w14:textId="1CC88C81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Контроль за выбросами котельных</w:t>
            </w:r>
          </w:p>
        </w:tc>
        <w:tc>
          <w:tcPr>
            <w:tcW w:w="3007" w:type="dxa"/>
          </w:tcPr>
          <w:p w14:paraId="3CAE73E1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Недостаток перерабатывающих мощностей </w:t>
            </w:r>
          </w:p>
          <w:p w14:paraId="237E1FE7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Низкая экологическая культура населения </w:t>
            </w:r>
          </w:p>
          <w:p w14:paraId="1EF44CA3" w14:textId="389AA52E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Высокие затраты на модернизацию</w:t>
            </w:r>
          </w:p>
        </w:tc>
      </w:tr>
      <w:tr w:rsidR="00107045" w:rsidRPr="00107045" w14:paraId="77A7F06A" w14:textId="77777777" w:rsidTr="00107045">
        <w:tc>
          <w:tcPr>
            <w:tcW w:w="3006" w:type="dxa"/>
          </w:tcPr>
          <w:p w14:paraId="5A7A6B03" w14:textId="4D08B1DF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Цифровизация</w:t>
            </w:r>
            <w:proofErr w:type="spellEnd"/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ЖКХ и повышение прозрачности</w:t>
            </w:r>
          </w:p>
        </w:tc>
        <w:tc>
          <w:tcPr>
            <w:tcW w:w="3006" w:type="dxa"/>
          </w:tcPr>
          <w:p w14:paraId="3FA0D377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Внедрение ГИС ЖКХ (государственной информационной системы) </w:t>
            </w:r>
          </w:p>
          <w:p w14:paraId="231EAC7C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Развитие онлайн-сервисов для жителей </w:t>
            </w:r>
          </w:p>
          <w:p w14:paraId="256835BF" w14:textId="6ACBE8A3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Автоматизация процессов управления</w:t>
            </w:r>
          </w:p>
        </w:tc>
        <w:tc>
          <w:tcPr>
            <w:tcW w:w="3007" w:type="dxa"/>
          </w:tcPr>
          <w:p w14:paraId="2B572A1B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Неготовность инфраструктуры </w:t>
            </w:r>
          </w:p>
          <w:p w14:paraId="24A2B790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Низкая цифровая грамотность населения </w:t>
            </w:r>
          </w:p>
          <w:p w14:paraId="29E2AA31" w14:textId="1168DBBE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Проблемы с защитой данных</w:t>
            </w:r>
          </w:p>
        </w:tc>
      </w:tr>
      <w:tr w:rsidR="00107045" w:rsidRPr="00107045" w14:paraId="5B3B7C13" w14:textId="77777777" w:rsidTr="00107045">
        <w:tc>
          <w:tcPr>
            <w:tcW w:w="3006" w:type="dxa"/>
          </w:tcPr>
          <w:p w14:paraId="00BF11D1" w14:textId="619C9226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8"/>
              </w:rPr>
              <w:t>Социальная защита населения</w:t>
            </w:r>
          </w:p>
        </w:tc>
        <w:tc>
          <w:tcPr>
            <w:tcW w:w="3006" w:type="dxa"/>
          </w:tcPr>
          <w:p w14:paraId="0B4A1C1C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Льготы и субсидии на оплату ЖКУ </w:t>
            </w:r>
          </w:p>
          <w:p w14:paraId="6D2DDBED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Адресная помощь малоимущим </w:t>
            </w:r>
          </w:p>
          <w:p w14:paraId="3D1B236B" w14:textId="135B0E95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Контроль за необоснованным ростом тарифов</w:t>
            </w:r>
          </w:p>
        </w:tc>
        <w:tc>
          <w:tcPr>
            <w:tcW w:w="3007" w:type="dxa"/>
          </w:tcPr>
          <w:p w14:paraId="38FE0B51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Злоупотребления при назначении субсидий </w:t>
            </w:r>
          </w:p>
          <w:p w14:paraId="284C3109" w14:textId="7777777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 xml:space="preserve">- Недостаточное финансирование программ </w:t>
            </w:r>
          </w:p>
          <w:p w14:paraId="552A84F5" w14:textId="0E01F792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07045">
              <w:rPr>
                <w:rFonts w:ascii="Times New Roman" w:hAnsi="Times New Roman" w:cs="Times New Roman"/>
                <w:sz w:val="24"/>
                <w:szCs w:val="28"/>
              </w:rPr>
              <w:t>- Высокая доля неплатежей</w:t>
            </w:r>
          </w:p>
        </w:tc>
      </w:tr>
    </w:tbl>
    <w:p w14:paraId="5826F983" w14:textId="77777777" w:rsidR="00107045" w:rsidRPr="00107045" w:rsidRDefault="0010704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0D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0F" w14:textId="5E30AA99" w:rsidR="006B6667" w:rsidRPr="00107045" w:rsidRDefault="004933F5" w:rsidP="0010704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</w:t>
      </w:r>
      <w:r w:rsidRPr="00107045">
        <w:rPr>
          <w:rFonts w:ascii="Times New Roman" w:hAnsi="Times New Roman" w:cs="Times New Roman"/>
          <w:b/>
          <w:sz w:val="28"/>
          <w:szCs w:val="28"/>
        </w:rPr>
        <w:t>Вывод:</w:t>
      </w:r>
      <w:r w:rsidR="00107045">
        <w:rPr>
          <w:rFonts w:ascii="Times New Roman" w:hAnsi="Times New Roman" w:cs="Times New Roman"/>
          <w:sz w:val="28"/>
          <w:szCs w:val="28"/>
        </w:rPr>
        <w:t xml:space="preserve"> </w:t>
      </w:r>
      <w:r w:rsidRPr="00107045">
        <w:rPr>
          <w:rFonts w:ascii="Times New Roman" w:hAnsi="Times New Roman" w:cs="Times New Roman"/>
          <w:sz w:val="28"/>
          <w:szCs w:val="28"/>
        </w:rPr>
        <w:t xml:space="preserve">Государственная политика в сфере ЖКХ направлена на доступность, качество и устойчивое развитие жилищно-коммунального комплекса. Однако ее реализация сталкивается с финансовыми, техническими и организационными проблемами, требующими комплексных решений на федеральном и региональном уровнях.  </w:t>
      </w:r>
    </w:p>
    <w:p w14:paraId="00000012" w14:textId="77777777" w:rsidR="006B6667" w:rsidRDefault="006B6667"/>
    <w:p w14:paraId="55042752" w14:textId="77777777" w:rsidR="00107045" w:rsidRDefault="00107045"/>
    <w:p w14:paraId="1B65651C" w14:textId="036C3F83" w:rsidR="00107045" w:rsidRPr="00107045" w:rsidRDefault="00107045" w:rsidP="00107045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7045">
        <w:rPr>
          <w:rFonts w:ascii="Times New Roman" w:hAnsi="Times New Roman" w:cs="Times New Roman"/>
          <w:b/>
          <w:sz w:val="28"/>
          <w:szCs w:val="28"/>
          <w:lang w:val="ru-RU"/>
        </w:rPr>
        <w:t>Задание 2.</w:t>
      </w:r>
      <w:r w:rsidRPr="00107045">
        <w:rPr>
          <w:rFonts w:ascii="Times New Roman" w:hAnsi="Times New Roman" w:cs="Times New Roman"/>
          <w:sz w:val="28"/>
          <w:szCs w:val="28"/>
          <w:lang w:val="ru-RU"/>
        </w:rPr>
        <w:t xml:space="preserve"> Используя Интернет-ресурсы, проанализируйте конкретные программы/проекты развития ЖКХ региона, сравните с программами других регионов (к примеру, с одним из регионов округа), оцените эффективность.</w:t>
      </w:r>
    </w:p>
    <w:p w14:paraId="00000016" w14:textId="77777777" w:rsidR="006B6667" w:rsidRDefault="006B6667"/>
    <w:p w14:paraId="00000070" w14:textId="28F3CD83" w:rsidR="006B6667" w:rsidRPr="00107045" w:rsidRDefault="004933F5" w:rsidP="00107045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7045">
        <w:rPr>
          <w:rFonts w:ascii="Times New Roman" w:hAnsi="Times New Roman" w:cs="Times New Roman"/>
          <w:b/>
          <w:sz w:val="28"/>
          <w:szCs w:val="28"/>
          <w:lang w:val="ru-RU"/>
        </w:rPr>
        <w:t>Сравнительный анализ программ раз</w:t>
      </w:r>
      <w:r w:rsidR="00107045" w:rsidRPr="00107045">
        <w:rPr>
          <w:rFonts w:ascii="Times New Roman" w:hAnsi="Times New Roman" w:cs="Times New Roman"/>
          <w:b/>
          <w:sz w:val="28"/>
          <w:szCs w:val="28"/>
          <w:lang w:val="ru-RU"/>
        </w:rPr>
        <w:t>вития ЖКХ: Московская область и</w:t>
      </w:r>
      <w:r w:rsidRPr="001070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Новосибирская область</w:t>
      </w:r>
      <w:r w:rsidR="00107045" w:rsidRPr="0010704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00000073" w14:textId="77777777" w:rsidR="006B6667" w:rsidRDefault="006B6667"/>
    <w:p w14:paraId="2C1FE6DE" w14:textId="77777777" w:rsidR="00107045" w:rsidRDefault="00107045"/>
    <w:p w14:paraId="00000074" w14:textId="5EE8A90A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045">
        <w:rPr>
          <w:rFonts w:ascii="Times New Roman" w:hAnsi="Times New Roman" w:cs="Times New Roman"/>
          <w:b/>
          <w:sz w:val="28"/>
          <w:szCs w:val="28"/>
        </w:rPr>
        <w:t xml:space="preserve"> 1. Ключевые программы Московской области</w:t>
      </w:r>
    </w:p>
    <w:p w14:paraId="00000075" w14:textId="77777777" w:rsidR="006B6667" w:rsidRPr="00107045" w:rsidRDefault="006B6667" w:rsidP="001070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00076" w14:textId="1F87F90B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b/>
          <w:sz w:val="28"/>
          <w:szCs w:val="28"/>
          <w:u w:val="single"/>
        </w:rPr>
        <w:t>1.1 Программа капитального ремонта (2021-2023)</w:t>
      </w:r>
    </w:p>
    <w:p w14:paraId="00000077" w14:textId="52D6B429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Бюджет: 42 млрд руб.</w:t>
      </w:r>
    </w:p>
    <w:p w14:paraId="00000078" w14:textId="11CA7086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Результаты:</w:t>
      </w:r>
    </w:p>
    <w:p w14:paraId="00000079" w14:textId="3F59AC78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Отремонтировано 5,300 домов</w:t>
      </w:r>
    </w:p>
    <w:p w14:paraId="0000007A" w14:textId="4B033015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100% многоквартирных домов включены в программу</w:t>
      </w:r>
    </w:p>
    <w:p w14:paraId="0000007B" w14:textId="30580D25" w:rsidR="006B6667" w:rsidRPr="00107045" w:rsidRDefault="004933F5" w:rsidP="00107045">
      <w:pPr>
        <w:pStyle w:val="a6"/>
        <w:tabs>
          <w:tab w:val="left" w:pos="851"/>
        </w:tabs>
        <w:spacing w:line="24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Особенности:</w:t>
      </w:r>
    </w:p>
    <w:p w14:paraId="0000007C" w14:textId="5271A501" w:rsidR="006B6667" w:rsidRPr="00107045" w:rsidRDefault="00107045" w:rsidP="00107045">
      <w:pPr>
        <w:pStyle w:val="a6"/>
        <w:numPr>
          <w:ilvl w:val="0"/>
          <w:numId w:val="1"/>
        </w:numPr>
        <w:tabs>
          <w:tab w:val="left" w:pos="142"/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33F5" w:rsidRPr="0010704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="004933F5" w:rsidRPr="00107045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="004933F5" w:rsidRPr="00107045">
        <w:rPr>
          <w:rFonts w:ascii="Times New Roman" w:hAnsi="Times New Roman" w:cs="Times New Roman"/>
          <w:sz w:val="28"/>
          <w:szCs w:val="28"/>
        </w:rPr>
        <w:t xml:space="preserve"> технологий</w:t>
      </w:r>
    </w:p>
    <w:p w14:paraId="0000007D" w14:textId="1B09DBDB" w:rsidR="006B6667" w:rsidRPr="00107045" w:rsidRDefault="0010704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933F5" w:rsidRPr="00107045">
        <w:rPr>
          <w:rFonts w:ascii="Times New Roman" w:hAnsi="Times New Roman" w:cs="Times New Roman"/>
          <w:sz w:val="28"/>
          <w:szCs w:val="28"/>
        </w:rPr>
        <w:t>Публичный онлайн-мониторинг работ</w:t>
      </w:r>
    </w:p>
    <w:p w14:paraId="0000007E" w14:textId="77777777" w:rsidR="006B6667" w:rsidRPr="00107045" w:rsidRDefault="006B6667" w:rsidP="001070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00007F" w14:textId="17D67780" w:rsidR="006B6667" w:rsidRPr="00107045" w:rsidRDefault="00107045" w:rsidP="001070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b/>
          <w:sz w:val="28"/>
          <w:szCs w:val="28"/>
          <w:u w:val="single"/>
        </w:rPr>
        <w:t>1.2 Проект «Умный город»</w:t>
      </w:r>
    </w:p>
    <w:p w14:paraId="00000080" w14:textId="77C11648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Внедрено:</w:t>
      </w:r>
    </w:p>
    <w:p w14:paraId="00000081" w14:textId="370C8E6F" w:rsidR="006B6667" w:rsidRPr="00107045" w:rsidRDefault="0010704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33F5" w:rsidRPr="00107045">
        <w:rPr>
          <w:rFonts w:ascii="Times New Roman" w:hAnsi="Times New Roman" w:cs="Times New Roman"/>
          <w:sz w:val="28"/>
          <w:szCs w:val="28"/>
        </w:rPr>
        <w:t>450,000 умных счетчиков</w:t>
      </w:r>
    </w:p>
    <w:p w14:paraId="00000082" w14:textId="4C0871C2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12,000 датчиков контроля инженерных систем</w:t>
      </w:r>
    </w:p>
    <w:p w14:paraId="00000083" w14:textId="52262BDF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107045">
        <w:rPr>
          <w:rFonts w:ascii="Times New Roman" w:hAnsi="Times New Roman" w:cs="Times New Roman"/>
          <w:sz w:val="28"/>
          <w:szCs w:val="28"/>
          <w:u w:val="single"/>
        </w:rPr>
        <w:t>Цифровизация</w:t>
      </w:r>
      <w:proofErr w:type="spellEnd"/>
      <w:r w:rsidRPr="0010704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00000084" w14:textId="52BC1918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85% платежей через онлайн-сервисы</w:t>
      </w:r>
    </w:p>
    <w:p w14:paraId="00000085" w14:textId="2367E5DA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Мобильное приложение для жителей</w:t>
      </w:r>
    </w:p>
    <w:p w14:paraId="00000086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87" w14:textId="240B8B28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b/>
          <w:sz w:val="28"/>
          <w:szCs w:val="28"/>
          <w:u w:val="single"/>
        </w:rPr>
        <w:t>1.3 Реформа ТКО</w:t>
      </w:r>
    </w:p>
    <w:p w14:paraId="00000088" w14:textId="12DCE782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7045">
        <w:rPr>
          <w:rFonts w:ascii="Times New Roman" w:hAnsi="Times New Roman" w:cs="Times New Roman"/>
          <w:sz w:val="28"/>
          <w:szCs w:val="28"/>
        </w:rPr>
        <w:t>Оператор:</w:t>
      </w:r>
      <w:r w:rsidR="00107045">
        <w:rPr>
          <w:rFonts w:ascii="Times New Roman" w:hAnsi="Times New Roman" w:cs="Times New Roman"/>
          <w:sz w:val="28"/>
          <w:szCs w:val="28"/>
        </w:rPr>
        <w:t xml:space="preserve"> </w:t>
      </w:r>
      <w:r w:rsidR="00107045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107045">
        <w:rPr>
          <w:rFonts w:ascii="Times New Roman" w:hAnsi="Times New Roman" w:cs="Times New Roman"/>
          <w:sz w:val="28"/>
          <w:szCs w:val="28"/>
        </w:rPr>
        <w:t>ЭкоПромСервис</w:t>
      </w:r>
      <w:proofErr w:type="spellEnd"/>
      <w:r w:rsidR="0010704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00000089" w14:textId="4328E4C3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Показатели:</w:t>
      </w:r>
    </w:p>
    <w:p w14:paraId="0000008A" w14:textId="34F724F7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18% переработки отходов</w:t>
      </w:r>
    </w:p>
    <w:p w14:paraId="0000008D" w14:textId="097002AC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4 новых сортировочных комплекса</w:t>
      </w:r>
    </w:p>
    <w:p w14:paraId="0000008E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8F" w14:textId="770BA847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7045">
        <w:rPr>
          <w:rFonts w:ascii="Times New Roman" w:hAnsi="Times New Roman" w:cs="Times New Roman"/>
          <w:b/>
          <w:sz w:val="28"/>
          <w:szCs w:val="28"/>
        </w:rPr>
        <w:tab/>
      </w:r>
      <w:r w:rsidRPr="00107045">
        <w:rPr>
          <w:rFonts w:ascii="Times New Roman" w:hAnsi="Times New Roman" w:cs="Times New Roman"/>
          <w:b/>
          <w:sz w:val="28"/>
          <w:szCs w:val="28"/>
        </w:rPr>
        <w:t>2. Ключевые программы Новосибирской области</w:t>
      </w:r>
    </w:p>
    <w:p w14:paraId="00000090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91" w14:textId="366F9CF5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b/>
          <w:sz w:val="28"/>
          <w:szCs w:val="28"/>
          <w:u w:val="single"/>
        </w:rPr>
        <w:t>2.1 Программа "ЖКХ-Стандарт" (2020-2024)</w:t>
      </w:r>
    </w:p>
    <w:p w14:paraId="00000092" w14:textId="63B89F82" w:rsidR="006B6667" w:rsidRPr="00107045" w:rsidRDefault="004933F5" w:rsidP="00107045">
      <w:pPr>
        <w:pStyle w:val="a6"/>
        <w:tabs>
          <w:tab w:val="left" w:pos="851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Бюджет: 28 млрд руб.</w:t>
      </w:r>
    </w:p>
    <w:p w14:paraId="00000093" w14:textId="3CCC38A9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lastRenderedPageBreak/>
        <w:t>Результаты:</w:t>
      </w:r>
    </w:p>
    <w:p w14:paraId="00000094" w14:textId="35A64423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Отремонтировано 2,100 домов</w:t>
      </w:r>
    </w:p>
    <w:p w14:paraId="00000095" w14:textId="6B2CEDA8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65% домов включены в программу</w:t>
      </w:r>
    </w:p>
    <w:p w14:paraId="00000096" w14:textId="01A67D98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Особенности:</w:t>
      </w:r>
    </w:p>
    <w:p w14:paraId="00000097" w14:textId="3C09F500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Акцент на аварийные дома</w:t>
      </w:r>
    </w:p>
    <w:p w14:paraId="00000098" w14:textId="4690CCB4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Система общественного контроля</w:t>
      </w:r>
    </w:p>
    <w:p w14:paraId="00000099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9A" w14:textId="72D66A57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b/>
          <w:sz w:val="28"/>
          <w:szCs w:val="28"/>
          <w:u w:val="single"/>
        </w:rPr>
        <w:t>2.2 Проект "Цифровое ЖКХ"</w:t>
      </w:r>
    </w:p>
    <w:p w14:paraId="0000009B" w14:textId="678FDAE7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</w:t>
      </w:r>
      <w:r w:rsidR="00107045">
        <w:rPr>
          <w:rFonts w:ascii="Times New Roman" w:hAnsi="Times New Roman" w:cs="Times New Roman"/>
          <w:sz w:val="28"/>
          <w:szCs w:val="28"/>
        </w:rPr>
        <w:tab/>
      </w:r>
      <w:r w:rsidRPr="00107045">
        <w:rPr>
          <w:rFonts w:ascii="Times New Roman" w:hAnsi="Times New Roman" w:cs="Times New Roman"/>
          <w:sz w:val="28"/>
          <w:szCs w:val="28"/>
          <w:u w:val="single"/>
        </w:rPr>
        <w:t>Внедрено:</w:t>
      </w:r>
    </w:p>
    <w:p w14:paraId="0000009C" w14:textId="1E72CAC8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120,000 умных приборов учета</w:t>
      </w:r>
    </w:p>
    <w:p w14:paraId="0000009D" w14:textId="34DA1F5E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5,000 датчиков мониторинга</w:t>
      </w:r>
    </w:p>
    <w:p w14:paraId="0000009E" w14:textId="2EF22248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07045">
        <w:rPr>
          <w:rFonts w:ascii="Times New Roman" w:hAnsi="Times New Roman" w:cs="Times New Roman"/>
          <w:sz w:val="28"/>
          <w:szCs w:val="28"/>
          <w:u w:val="single"/>
        </w:rPr>
        <w:t>Цифровизация</w:t>
      </w:r>
      <w:proofErr w:type="spellEnd"/>
      <w:r w:rsidRPr="00107045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0000009F" w14:textId="6E1020E6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60% </w:t>
      </w:r>
      <w:proofErr w:type="spellStart"/>
      <w:r w:rsidRPr="00107045">
        <w:rPr>
          <w:rFonts w:ascii="Times New Roman" w:hAnsi="Times New Roman" w:cs="Times New Roman"/>
          <w:sz w:val="28"/>
          <w:szCs w:val="28"/>
        </w:rPr>
        <w:t>онлайнплатежей</w:t>
      </w:r>
      <w:proofErr w:type="spellEnd"/>
    </w:p>
    <w:p w14:paraId="000000A0" w14:textId="7BCB0552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Единая диспетчерская служба</w:t>
      </w:r>
    </w:p>
    <w:p w14:paraId="000000A1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A2" w14:textId="7733AE45" w:rsidR="006B6667" w:rsidRPr="00107045" w:rsidRDefault="004933F5" w:rsidP="0010704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b/>
          <w:sz w:val="28"/>
          <w:szCs w:val="28"/>
          <w:u w:val="single"/>
        </w:rPr>
        <w:t>2.3 Реформа ТКО</w:t>
      </w:r>
    </w:p>
    <w:p w14:paraId="000000A3" w14:textId="14CDB719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</w:t>
      </w:r>
      <w:r w:rsidR="00107045">
        <w:rPr>
          <w:rFonts w:ascii="Times New Roman" w:hAnsi="Times New Roman" w:cs="Times New Roman"/>
          <w:sz w:val="28"/>
          <w:szCs w:val="28"/>
        </w:rPr>
        <w:tab/>
      </w:r>
      <w:r w:rsidRPr="00107045">
        <w:rPr>
          <w:rFonts w:ascii="Times New Roman" w:hAnsi="Times New Roman" w:cs="Times New Roman"/>
          <w:sz w:val="28"/>
          <w:szCs w:val="28"/>
        </w:rPr>
        <w:t>Оператор: "</w:t>
      </w:r>
      <w:proofErr w:type="spellStart"/>
      <w:r w:rsidRPr="00107045">
        <w:rPr>
          <w:rFonts w:ascii="Times New Roman" w:hAnsi="Times New Roman" w:cs="Times New Roman"/>
          <w:sz w:val="28"/>
          <w:szCs w:val="28"/>
        </w:rPr>
        <w:t>ЭкологияНовосибирск</w:t>
      </w:r>
      <w:proofErr w:type="spellEnd"/>
      <w:r w:rsidRPr="00107045">
        <w:rPr>
          <w:rFonts w:ascii="Times New Roman" w:hAnsi="Times New Roman" w:cs="Times New Roman"/>
          <w:sz w:val="28"/>
          <w:szCs w:val="28"/>
        </w:rPr>
        <w:t>"</w:t>
      </w:r>
    </w:p>
    <w:p w14:paraId="000000A4" w14:textId="5B8E7A45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</w:t>
      </w:r>
      <w:r w:rsidRPr="00107045">
        <w:rPr>
          <w:rFonts w:ascii="Times New Roman" w:hAnsi="Times New Roman" w:cs="Times New Roman"/>
          <w:sz w:val="28"/>
          <w:szCs w:val="28"/>
          <w:u w:val="single"/>
        </w:rPr>
        <w:t>Показатели:</w:t>
      </w:r>
    </w:p>
    <w:p w14:paraId="000000A5" w14:textId="03F58768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12% переработки отходов</w:t>
      </w:r>
    </w:p>
    <w:p w14:paraId="000000A8" w14:textId="51084C58" w:rsidR="006B6667" w:rsidRPr="00107045" w:rsidRDefault="004933F5" w:rsidP="00107045">
      <w:pPr>
        <w:pStyle w:val="a6"/>
        <w:numPr>
          <w:ilvl w:val="0"/>
          <w:numId w:val="1"/>
        </w:numPr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2 мусоросортировочных завода</w:t>
      </w:r>
    </w:p>
    <w:p w14:paraId="000000A9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AA" w14:textId="73783D0C" w:rsidR="006B6667" w:rsidRPr="00107045" w:rsidRDefault="004933F5" w:rsidP="00107045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045">
        <w:rPr>
          <w:rFonts w:ascii="Times New Roman" w:hAnsi="Times New Roman" w:cs="Times New Roman"/>
          <w:b/>
          <w:sz w:val="28"/>
          <w:szCs w:val="28"/>
        </w:rPr>
        <w:t xml:space="preserve"> 3. Сравнительный анализ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4"/>
        <w:gridCol w:w="2255"/>
        <w:gridCol w:w="2255"/>
        <w:gridCol w:w="2255"/>
      </w:tblGrid>
      <w:tr w:rsidR="00107045" w14:paraId="2947D2F0" w14:textId="77777777" w:rsidTr="00107045">
        <w:tc>
          <w:tcPr>
            <w:tcW w:w="2254" w:type="dxa"/>
          </w:tcPr>
          <w:p w14:paraId="33746B35" w14:textId="2FC2BE7F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</w:t>
            </w:r>
          </w:p>
        </w:tc>
        <w:tc>
          <w:tcPr>
            <w:tcW w:w="2255" w:type="dxa"/>
          </w:tcPr>
          <w:p w14:paraId="1441ABE5" w14:textId="4665BFA8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4"/>
              </w:rPr>
              <w:t>Московская обл.</w:t>
            </w:r>
          </w:p>
        </w:tc>
        <w:tc>
          <w:tcPr>
            <w:tcW w:w="2255" w:type="dxa"/>
          </w:tcPr>
          <w:p w14:paraId="366C294A" w14:textId="48767B41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Новосибирская обл.</w:t>
            </w:r>
          </w:p>
        </w:tc>
        <w:tc>
          <w:tcPr>
            <w:tcW w:w="2255" w:type="dxa"/>
          </w:tcPr>
          <w:p w14:paraId="6E78BF17" w14:textId="15922980" w:rsidR="00107045" w:rsidRPr="00107045" w:rsidRDefault="00107045" w:rsidP="001070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b/>
                <w:sz w:val="24"/>
                <w:szCs w:val="24"/>
              </w:rPr>
              <w:t>Разница</w:t>
            </w:r>
          </w:p>
        </w:tc>
      </w:tr>
      <w:tr w:rsidR="00107045" w14:paraId="65E888AA" w14:textId="77777777" w:rsidTr="00107045">
        <w:tc>
          <w:tcPr>
            <w:tcW w:w="2254" w:type="dxa"/>
          </w:tcPr>
          <w:p w14:paraId="43740526" w14:textId="15F523A3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Бюджет программ        </w:t>
            </w:r>
          </w:p>
        </w:tc>
        <w:tc>
          <w:tcPr>
            <w:tcW w:w="2255" w:type="dxa"/>
          </w:tcPr>
          <w:p w14:paraId="54F652FA" w14:textId="391A5D00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42 млрд руб.            </w:t>
            </w:r>
          </w:p>
        </w:tc>
        <w:tc>
          <w:tcPr>
            <w:tcW w:w="2255" w:type="dxa"/>
          </w:tcPr>
          <w:p w14:paraId="08DA284D" w14:textId="40CB5FD0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28 млрд руб.            </w:t>
            </w:r>
          </w:p>
        </w:tc>
        <w:tc>
          <w:tcPr>
            <w:tcW w:w="2255" w:type="dxa"/>
          </w:tcPr>
          <w:p w14:paraId="3448BF88" w14:textId="292B25E4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+50%       </w:t>
            </w:r>
          </w:p>
        </w:tc>
      </w:tr>
      <w:tr w:rsidR="00107045" w14:paraId="24B37447" w14:textId="77777777" w:rsidTr="00107045">
        <w:tc>
          <w:tcPr>
            <w:tcW w:w="2254" w:type="dxa"/>
          </w:tcPr>
          <w:p w14:paraId="24CFCDCE" w14:textId="14ED6B38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Темпы капремонта       </w:t>
            </w:r>
          </w:p>
        </w:tc>
        <w:tc>
          <w:tcPr>
            <w:tcW w:w="2255" w:type="dxa"/>
          </w:tcPr>
          <w:p w14:paraId="53172ED4" w14:textId="7227605A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1,770 домов/год         </w:t>
            </w:r>
          </w:p>
        </w:tc>
        <w:tc>
          <w:tcPr>
            <w:tcW w:w="2255" w:type="dxa"/>
          </w:tcPr>
          <w:p w14:paraId="3B6C506F" w14:textId="768329CC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525 домов/год           </w:t>
            </w:r>
          </w:p>
        </w:tc>
        <w:tc>
          <w:tcPr>
            <w:tcW w:w="2255" w:type="dxa"/>
          </w:tcPr>
          <w:p w14:paraId="45568EDC" w14:textId="04915EC2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 3.4 раза</w:t>
            </w:r>
          </w:p>
        </w:tc>
      </w:tr>
      <w:tr w:rsidR="00107045" w14:paraId="5BE5DDE8" w14:textId="77777777" w:rsidTr="00107045">
        <w:tc>
          <w:tcPr>
            <w:tcW w:w="2254" w:type="dxa"/>
          </w:tcPr>
          <w:p w14:paraId="13807FEB" w14:textId="544D8B44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107045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2255" w:type="dxa"/>
          </w:tcPr>
          <w:p w14:paraId="43B80FB8" w14:textId="28B642B7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85% домов               </w:t>
            </w:r>
          </w:p>
        </w:tc>
        <w:tc>
          <w:tcPr>
            <w:tcW w:w="2255" w:type="dxa"/>
          </w:tcPr>
          <w:p w14:paraId="073FEC46" w14:textId="79D21AF4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45% домов               </w:t>
            </w:r>
          </w:p>
        </w:tc>
        <w:tc>
          <w:tcPr>
            <w:tcW w:w="2255" w:type="dxa"/>
          </w:tcPr>
          <w:p w14:paraId="3A57F885" w14:textId="6813CE00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+40%       </w:t>
            </w:r>
          </w:p>
        </w:tc>
      </w:tr>
      <w:tr w:rsidR="00107045" w14:paraId="48FE02EB" w14:textId="77777777" w:rsidTr="00107045">
        <w:tc>
          <w:tcPr>
            <w:tcW w:w="2254" w:type="dxa"/>
          </w:tcPr>
          <w:p w14:paraId="1C7EF416" w14:textId="0E858649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Переработка отходов    </w:t>
            </w:r>
          </w:p>
        </w:tc>
        <w:tc>
          <w:tcPr>
            <w:tcW w:w="2255" w:type="dxa"/>
          </w:tcPr>
          <w:p w14:paraId="4D66AB8F" w14:textId="28C76EAE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18%                    </w:t>
            </w:r>
          </w:p>
        </w:tc>
        <w:tc>
          <w:tcPr>
            <w:tcW w:w="2255" w:type="dxa"/>
          </w:tcPr>
          <w:p w14:paraId="76D0764C" w14:textId="3FC12065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12%                     </w:t>
            </w:r>
          </w:p>
        </w:tc>
        <w:tc>
          <w:tcPr>
            <w:tcW w:w="2255" w:type="dxa"/>
          </w:tcPr>
          <w:p w14:paraId="36572A49" w14:textId="34E28190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+6%        </w:t>
            </w:r>
          </w:p>
        </w:tc>
      </w:tr>
      <w:tr w:rsidR="00107045" w14:paraId="21D9C7B5" w14:textId="77777777" w:rsidTr="00107045">
        <w:tc>
          <w:tcPr>
            <w:tcW w:w="2254" w:type="dxa"/>
          </w:tcPr>
          <w:p w14:paraId="53C2C763" w14:textId="5D065F98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>Удовлетворенность</w:t>
            </w:r>
          </w:p>
        </w:tc>
        <w:tc>
          <w:tcPr>
            <w:tcW w:w="2255" w:type="dxa"/>
          </w:tcPr>
          <w:p w14:paraId="72680EE2" w14:textId="4DE852A8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| 68%                    </w:t>
            </w:r>
          </w:p>
        </w:tc>
        <w:tc>
          <w:tcPr>
            <w:tcW w:w="2255" w:type="dxa"/>
          </w:tcPr>
          <w:p w14:paraId="1D0FDFDA" w14:textId="035E62DC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58%                     </w:t>
            </w:r>
          </w:p>
        </w:tc>
        <w:tc>
          <w:tcPr>
            <w:tcW w:w="2255" w:type="dxa"/>
          </w:tcPr>
          <w:p w14:paraId="050B6978" w14:textId="1D0B45E3" w:rsidR="00107045" w:rsidRPr="00107045" w:rsidRDefault="00107045" w:rsidP="00107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045">
              <w:rPr>
                <w:rFonts w:ascii="Times New Roman" w:hAnsi="Times New Roman" w:cs="Times New Roman"/>
                <w:sz w:val="24"/>
                <w:szCs w:val="24"/>
              </w:rPr>
              <w:t xml:space="preserve">+10%       </w:t>
            </w:r>
          </w:p>
        </w:tc>
      </w:tr>
    </w:tbl>
    <w:p w14:paraId="000000AB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B4" w14:textId="27CA9B10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Ключевые различия:</w:t>
      </w:r>
    </w:p>
    <w:p w14:paraId="000000B5" w14:textId="2CA3EF3A" w:rsidR="006B6667" w:rsidRPr="00107045" w:rsidRDefault="004933F5" w:rsidP="00107045">
      <w:pPr>
        <w:pStyle w:val="a6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Финансирование: Московская область получает в 1.5 раза больше средств</w:t>
      </w:r>
      <w:r w:rsidR="0010704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00000B6" w14:textId="281D40B0" w:rsidR="006B6667" w:rsidRPr="00107045" w:rsidRDefault="004933F5" w:rsidP="00107045">
      <w:pPr>
        <w:pStyle w:val="a6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Технологии: Более масштабное внедрение цифровых решений в МО</w:t>
      </w:r>
      <w:r w:rsidR="0010704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00000B7" w14:textId="054777C2" w:rsidR="006B6667" w:rsidRPr="00107045" w:rsidRDefault="004933F5" w:rsidP="00107045">
      <w:pPr>
        <w:pStyle w:val="a6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Инфраструктура: Новосибирск делает акцент на ликвидацию аварийного фонда</w:t>
      </w:r>
      <w:r w:rsidR="0010704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00000B8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BB" w14:textId="66CAD8B6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045">
        <w:rPr>
          <w:rFonts w:ascii="Times New Roman" w:hAnsi="Times New Roman" w:cs="Times New Roman"/>
          <w:b/>
          <w:sz w:val="28"/>
          <w:szCs w:val="28"/>
        </w:rPr>
        <w:t xml:space="preserve"> 4. Проблемы в обоих регионах</w:t>
      </w:r>
    </w:p>
    <w:p w14:paraId="000000BC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BD" w14:textId="2724C06B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1. Общие:</w:t>
      </w:r>
    </w:p>
    <w:p w14:paraId="000000BE" w14:textId="676EC7C2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Нехватка квалифицированных кадров</w:t>
      </w:r>
    </w:p>
    <w:p w14:paraId="000000BF" w14:textId="443F4E6B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Сопротивление жителей нововведениям</w:t>
      </w:r>
    </w:p>
    <w:p w14:paraId="000000C0" w14:textId="2EEEE988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Высокий процент износа сетей (6070%)</w:t>
      </w:r>
    </w:p>
    <w:p w14:paraId="000000C1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C2" w14:textId="5823DBF3" w:rsidR="006B6667" w:rsidRPr="00107045" w:rsidRDefault="004933F5" w:rsidP="0010704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2. Специфические:</w:t>
      </w:r>
    </w:p>
    <w:p w14:paraId="000000C3" w14:textId="01BE1B0A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 МО: Перегруженность инфраструктуры из</w:t>
      </w:r>
      <w:r w:rsidR="00107045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107045">
        <w:rPr>
          <w:rFonts w:ascii="Times New Roman" w:hAnsi="Times New Roman" w:cs="Times New Roman"/>
          <w:sz w:val="28"/>
          <w:szCs w:val="28"/>
        </w:rPr>
        <w:t>за миграции</w:t>
      </w:r>
    </w:p>
    <w:p w14:paraId="000000C4" w14:textId="25D847D1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    НО: Сложные климатические условия (морозы до 40°C)</w:t>
      </w:r>
    </w:p>
    <w:p w14:paraId="000000D8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D9" w14:textId="44969D14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7045">
        <w:rPr>
          <w:rFonts w:ascii="Times New Roman" w:hAnsi="Times New Roman" w:cs="Times New Roman"/>
          <w:b/>
          <w:sz w:val="28"/>
          <w:szCs w:val="28"/>
        </w:rPr>
        <w:tab/>
      </w:r>
      <w:r w:rsidR="00234865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bookmarkStart w:id="0" w:name="_GoBack"/>
      <w:bookmarkEnd w:id="0"/>
      <w:r w:rsidRPr="00107045">
        <w:rPr>
          <w:rFonts w:ascii="Times New Roman" w:hAnsi="Times New Roman" w:cs="Times New Roman"/>
          <w:b/>
          <w:sz w:val="28"/>
          <w:szCs w:val="28"/>
        </w:rPr>
        <w:t>. Вывод</w:t>
      </w:r>
    </w:p>
    <w:p w14:paraId="000000DA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DB" w14:textId="27CD41BC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Московская область демонстрирует более высокие показатели благодаря:</w:t>
      </w:r>
    </w:p>
    <w:p w14:paraId="000000DC" w14:textId="52CC67AE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Значительному бюджету</w:t>
      </w:r>
    </w:p>
    <w:p w14:paraId="000000DD" w14:textId="2DA971F2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 xml:space="preserve">Активной </w:t>
      </w:r>
      <w:proofErr w:type="spellStart"/>
      <w:r w:rsidRPr="0010704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</w:p>
    <w:p w14:paraId="000000DE" w14:textId="1982BA62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Близости к федеральному центру</w:t>
      </w:r>
    </w:p>
    <w:p w14:paraId="000000DF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E0" w14:textId="77777777" w:rsidR="006B6667" w:rsidRPr="00107045" w:rsidRDefault="004933F5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07045">
        <w:rPr>
          <w:rFonts w:ascii="Times New Roman" w:hAnsi="Times New Roman" w:cs="Times New Roman"/>
          <w:sz w:val="28"/>
          <w:szCs w:val="28"/>
          <w:u w:val="single"/>
        </w:rPr>
        <w:t>Новосибирская область:</w:t>
      </w:r>
    </w:p>
    <w:p w14:paraId="000000E1" w14:textId="4FCB9CB1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Делает акцент на решение критических проблем</w:t>
      </w:r>
    </w:p>
    <w:p w14:paraId="000000E2" w14:textId="24C06E23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Развивает адресные программы с учетом климата</w:t>
      </w:r>
    </w:p>
    <w:p w14:paraId="000000E3" w14:textId="5F42CEE2" w:rsidR="006B6667" w:rsidRPr="00107045" w:rsidRDefault="004933F5" w:rsidP="00107045">
      <w:pPr>
        <w:pStyle w:val="a6"/>
        <w:numPr>
          <w:ilvl w:val="0"/>
          <w:numId w:val="3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7045">
        <w:rPr>
          <w:rFonts w:ascii="Times New Roman" w:hAnsi="Times New Roman" w:cs="Times New Roman"/>
          <w:sz w:val="28"/>
          <w:szCs w:val="28"/>
        </w:rPr>
        <w:t>Требует дополнительного финансирования для рывка</w:t>
      </w:r>
    </w:p>
    <w:p w14:paraId="000000E4" w14:textId="77777777" w:rsidR="006B6667" w:rsidRPr="00107045" w:rsidRDefault="006B6667" w:rsidP="001070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6667" w:rsidRPr="00107045" w:rsidSect="00107045">
      <w:footerReference w:type="default" r:id="rId7"/>
      <w:pgSz w:w="11909" w:h="16834"/>
      <w:pgMar w:top="567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345F3" w14:textId="77777777" w:rsidR="00137830" w:rsidRDefault="00137830" w:rsidP="00107045">
      <w:pPr>
        <w:spacing w:line="240" w:lineRule="auto"/>
      </w:pPr>
      <w:r>
        <w:separator/>
      </w:r>
    </w:p>
  </w:endnote>
  <w:endnote w:type="continuationSeparator" w:id="0">
    <w:p w14:paraId="299D8034" w14:textId="77777777" w:rsidR="00137830" w:rsidRDefault="00137830" w:rsidP="001070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07564"/>
      <w:docPartObj>
        <w:docPartGallery w:val="Page Numbers (Bottom of Page)"/>
        <w:docPartUnique/>
      </w:docPartObj>
    </w:sdtPr>
    <w:sdtEndPr/>
    <w:sdtContent>
      <w:p w14:paraId="746C0300" w14:textId="3CAE476F" w:rsidR="00107045" w:rsidRDefault="0010704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865" w:rsidRPr="00234865">
          <w:rPr>
            <w:noProof/>
            <w:lang w:val="ru-RU"/>
          </w:rPr>
          <w:t>4</w:t>
        </w:r>
        <w:r>
          <w:fldChar w:fldCharType="end"/>
        </w:r>
      </w:p>
    </w:sdtContent>
  </w:sdt>
  <w:p w14:paraId="6579A7B0" w14:textId="77777777" w:rsidR="00107045" w:rsidRDefault="001070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255AD" w14:textId="77777777" w:rsidR="00137830" w:rsidRDefault="00137830" w:rsidP="00107045">
      <w:pPr>
        <w:spacing w:line="240" w:lineRule="auto"/>
      </w:pPr>
      <w:r>
        <w:separator/>
      </w:r>
    </w:p>
  </w:footnote>
  <w:footnote w:type="continuationSeparator" w:id="0">
    <w:p w14:paraId="3257ABC2" w14:textId="77777777" w:rsidR="00137830" w:rsidRDefault="00137830" w:rsidP="001070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C95CE6"/>
    <w:multiLevelType w:val="hybridMultilevel"/>
    <w:tmpl w:val="8A541A26"/>
    <w:lvl w:ilvl="0" w:tplc="00D403F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3F6911"/>
    <w:multiLevelType w:val="hybridMultilevel"/>
    <w:tmpl w:val="EA545C2A"/>
    <w:lvl w:ilvl="0" w:tplc="00D403F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C347E3"/>
    <w:multiLevelType w:val="hybridMultilevel"/>
    <w:tmpl w:val="4502E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67"/>
    <w:rsid w:val="00107045"/>
    <w:rsid w:val="00137830"/>
    <w:rsid w:val="00234865"/>
    <w:rsid w:val="004933F5"/>
    <w:rsid w:val="006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89138C-CE50-4D08-A43C-E1E396895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styleId="a5">
    <w:name w:val="Table Grid"/>
    <w:basedOn w:val="a1"/>
    <w:uiPriority w:val="39"/>
    <w:rsid w:val="0010704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0704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07045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7045"/>
  </w:style>
  <w:style w:type="paragraph" w:styleId="a9">
    <w:name w:val="footer"/>
    <w:basedOn w:val="a"/>
    <w:link w:val="aa"/>
    <w:uiPriority w:val="99"/>
    <w:unhideWhenUsed/>
    <w:rsid w:val="0010704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7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750</Words>
  <Characters>4276</Characters>
  <Application>Microsoft Office Word</Application>
  <DocSecurity>0</DocSecurity>
  <Lines>35</Lines>
  <Paragraphs>10</Paragraphs>
  <ScaleCrop>false</ScaleCrop>
  <Company>HP</Company>
  <LinksUpToDate>false</LinksUpToDate>
  <CharactersWithSpaces>5016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Гизатулин_РФ</cp:lastModifiedBy>
  <cp:revision>3</cp:revision>
  <dcterms:created xsi:type="dcterms:W3CDTF">2025-04-13T12:02:00Z</dcterms:created>
  <dcterms:modified xsi:type="dcterms:W3CDTF">2025-04-13T12:30:00Z</dcterms:modified>
</cp:coreProperties>
</file>